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64C6F" w14:textId="77777777" w:rsidR="00FB6A8C" w:rsidRPr="00B65C30" w:rsidRDefault="00FB6A8C" w:rsidP="00FB6A8C">
      <w:pPr>
        <w:jc w:val="center"/>
        <w:rPr>
          <w:rFonts w:ascii="標楷體" w:eastAsia="標楷體" w:hAnsi="標楷體"/>
        </w:rPr>
      </w:pPr>
      <w:r w:rsidRPr="00B65C30">
        <w:rPr>
          <w:rFonts w:ascii="標楷體" w:eastAsia="標楷體" w:hAnsi="標楷體" w:hint="eastAsia"/>
        </w:rPr>
        <w:t>銘</w:t>
      </w:r>
      <w:r w:rsidRPr="00B65C30">
        <w:rPr>
          <w:rFonts w:ascii="標楷體" w:eastAsia="標楷體" w:hAnsi="標楷體"/>
        </w:rPr>
        <w:t>傳大學1</w:t>
      </w:r>
      <w:r>
        <w:rPr>
          <w:rFonts w:ascii="標楷體" w:eastAsia="標楷體" w:hAnsi="標楷體"/>
        </w:rPr>
        <w:t>1</w:t>
      </w:r>
      <w:r>
        <w:rPr>
          <w:rFonts w:ascii="標楷體" w:eastAsia="標楷體" w:hAnsi="標楷體" w:hint="eastAsia"/>
        </w:rPr>
        <w:t>5</w:t>
      </w:r>
      <w:r w:rsidRPr="00B65C30">
        <w:rPr>
          <w:rFonts w:ascii="標楷體" w:eastAsia="標楷體" w:hAnsi="標楷體"/>
        </w:rPr>
        <w:t>學年度廣告暨策略行</w:t>
      </w:r>
      <w:r w:rsidRPr="00B65C30">
        <w:rPr>
          <w:rFonts w:ascii="標楷體" w:eastAsia="標楷體" w:hAnsi="標楷體" w:hint="eastAsia"/>
        </w:rPr>
        <w:t>銷</w:t>
      </w:r>
      <w:r w:rsidRPr="00B65C30">
        <w:rPr>
          <w:rFonts w:ascii="標楷體" w:eastAsia="標楷體" w:hAnsi="標楷體"/>
        </w:rPr>
        <w:t>學系</w:t>
      </w:r>
      <w:r>
        <w:rPr>
          <w:rFonts w:ascii="標楷體" w:eastAsia="標楷體" w:hAnsi="標楷體" w:hint="eastAsia"/>
        </w:rPr>
        <w:t>特殊</w:t>
      </w:r>
      <w:proofErr w:type="gramStart"/>
      <w:r>
        <w:rPr>
          <w:rFonts w:ascii="標楷體" w:eastAsia="標楷體" w:hAnsi="標楷體" w:hint="eastAsia"/>
        </w:rPr>
        <w:t>選才校</w:t>
      </w:r>
      <w:r>
        <w:rPr>
          <w:rFonts w:ascii="標楷體" w:eastAsia="標楷體" w:hAnsi="標楷體"/>
        </w:rPr>
        <w:t>系</w:t>
      </w:r>
      <w:proofErr w:type="gramEnd"/>
      <w:r>
        <w:rPr>
          <w:rFonts w:ascii="標楷體" w:eastAsia="標楷體" w:hAnsi="標楷體"/>
        </w:rPr>
        <w:t>分則</w:t>
      </w:r>
      <w:r w:rsidRPr="00B65C30">
        <w:rPr>
          <w:rFonts w:ascii="標楷體" w:eastAsia="標楷體" w:hAnsi="標楷體"/>
        </w:rPr>
        <w:t>資料</w:t>
      </w:r>
    </w:p>
    <w:tbl>
      <w:tblPr>
        <w:tblStyle w:val="a3"/>
        <w:tblpPr w:leftFromText="180" w:rightFromText="180" w:horzAnchor="margin" w:tblpY="450"/>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661"/>
        <w:gridCol w:w="6615"/>
      </w:tblGrid>
      <w:tr w:rsidR="00FB6A8C" w:rsidRPr="007309D3" w14:paraId="37670778" w14:textId="77777777" w:rsidTr="00011844">
        <w:tc>
          <w:tcPr>
            <w:tcW w:w="1661" w:type="dxa"/>
            <w:tcBorders>
              <w:top w:val="single" w:sz="12" w:space="0" w:color="auto"/>
            </w:tcBorders>
            <w:vAlign w:val="center"/>
          </w:tcPr>
          <w:p w14:paraId="42DAAC8B" w14:textId="77777777" w:rsidR="00FB6A8C" w:rsidRPr="007309D3" w:rsidRDefault="00FB6A8C" w:rsidP="00FB6A8C">
            <w:pPr>
              <w:spacing w:line="260" w:lineRule="exact"/>
              <w:jc w:val="center"/>
              <w:rPr>
                <w:rFonts w:ascii="Times New Roman" w:eastAsia="標楷體" w:hAnsi="Times New Roman" w:cs="Times New Roman"/>
              </w:rPr>
            </w:pPr>
            <w:r w:rsidRPr="007309D3">
              <w:rPr>
                <w:rFonts w:ascii="Times New Roman" w:eastAsia="標楷體" w:hAnsi="Times New Roman" w:cs="Times New Roman"/>
                <w:color w:val="FF0000"/>
              </w:rPr>
              <w:br w:type="page"/>
            </w:r>
            <w:r w:rsidRPr="007309D3">
              <w:rPr>
                <w:rFonts w:ascii="Times New Roman" w:eastAsia="標楷體" w:hAnsi="Times New Roman" w:cs="Times New Roman"/>
              </w:rPr>
              <w:br w:type="page"/>
            </w:r>
            <w:r w:rsidRPr="007309D3">
              <w:rPr>
                <w:rFonts w:ascii="Times New Roman" w:eastAsia="標楷體" w:hAnsi="Times New Roman" w:cs="Times New Roman"/>
              </w:rPr>
              <w:br w:type="page"/>
            </w:r>
            <w:r w:rsidRPr="007309D3">
              <w:rPr>
                <w:rFonts w:ascii="Times New Roman" w:eastAsia="標楷體" w:hAnsi="Times New Roman" w:cs="Times New Roman"/>
              </w:rPr>
              <w:t>學系</w:t>
            </w:r>
          </w:p>
        </w:tc>
        <w:tc>
          <w:tcPr>
            <w:tcW w:w="6615" w:type="dxa"/>
            <w:tcBorders>
              <w:top w:val="single" w:sz="12" w:space="0" w:color="auto"/>
            </w:tcBorders>
          </w:tcPr>
          <w:p w14:paraId="5A1A20BE" w14:textId="77777777" w:rsidR="00FB6A8C" w:rsidRPr="007309D3" w:rsidRDefault="00FB6A8C" w:rsidP="00FB6A8C">
            <w:pPr>
              <w:spacing w:line="260" w:lineRule="exact"/>
              <w:jc w:val="center"/>
              <w:rPr>
                <w:rFonts w:ascii="Times New Roman" w:eastAsia="標楷體" w:hAnsi="Times New Roman" w:cs="Times New Roman"/>
                <w:sz w:val="28"/>
              </w:rPr>
            </w:pPr>
            <w:r w:rsidRPr="007309D3">
              <w:rPr>
                <w:rFonts w:ascii="Times New Roman" w:eastAsia="標楷體" w:hAnsi="Times New Roman" w:cs="Times New Roman" w:hint="eastAsia"/>
                <w:sz w:val="28"/>
              </w:rPr>
              <w:t>廣告暨策略行銷</w:t>
            </w:r>
            <w:r w:rsidRPr="007309D3">
              <w:rPr>
                <w:rFonts w:ascii="Times New Roman" w:eastAsia="標楷體" w:hAnsi="Times New Roman" w:cs="Times New Roman"/>
                <w:sz w:val="28"/>
              </w:rPr>
              <w:t>學系</w:t>
            </w:r>
            <w:r w:rsidRPr="007309D3">
              <w:rPr>
                <w:rFonts w:ascii="Times New Roman" w:eastAsia="標楷體" w:hAnsi="Times New Roman" w:cs="Times New Roman" w:hint="eastAsia"/>
                <w:sz w:val="28"/>
              </w:rPr>
              <w:t>（</w:t>
            </w:r>
            <w:proofErr w:type="gramStart"/>
            <w:r w:rsidRPr="007309D3">
              <w:rPr>
                <w:rFonts w:ascii="Times New Roman" w:eastAsia="標楷體" w:hAnsi="Times New Roman" w:cs="Times New Roman" w:hint="eastAsia"/>
                <w:sz w:val="28"/>
              </w:rPr>
              <w:t>臺北校</w:t>
            </w:r>
            <w:proofErr w:type="gramEnd"/>
            <w:r w:rsidRPr="007309D3">
              <w:rPr>
                <w:rFonts w:ascii="Times New Roman" w:eastAsia="標楷體" w:hAnsi="Times New Roman" w:cs="Times New Roman" w:hint="eastAsia"/>
                <w:sz w:val="28"/>
              </w:rPr>
              <w:t>區）</w:t>
            </w:r>
          </w:p>
        </w:tc>
      </w:tr>
      <w:tr w:rsidR="00FB6A8C" w:rsidRPr="007309D3" w14:paraId="6C0DC9AD" w14:textId="77777777" w:rsidTr="00FB6A8C">
        <w:trPr>
          <w:trHeight w:val="389"/>
        </w:trPr>
        <w:tc>
          <w:tcPr>
            <w:tcW w:w="1661" w:type="dxa"/>
            <w:vAlign w:val="center"/>
          </w:tcPr>
          <w:p w14:paraId="06965665" w14:textId="77777777" w:rsidR="00FB6A8C" w:rsidRPr="007309D3" w:rsidRDefault="00FB6A8C" w:rsidP="00FB6A8C">
            <w:pPr>
              <w:spacing w:line="260" w:lineRule="exact"/>
              <w:jc w:val="center"/>
              <w:rPr>
                <w:rFonts w:ascii="Times New Roman" w:eastAsia="標楷體" w:hAnsi="Times New Roman" w:cs="Times New Roman"/>
              </w:rPr>
            </w:pPr>
            <w:r w:rsidRPr="007309D3">
              <w:rPr>
                <w:rFonts w:ascii="Times New Roman" w:eastAsia="標楷體" w:hAnsi="Times New Roman" w:cs="Times New Roman"/>
              </w:rPr>
              <w:t>名額</w:t>
            </w:r>
          </w:p>
        </w:tc>
        <w:tc>
          <w:tcPr>
            <w:tcW w:w="6615" w:type="dxa"/>
            <w:vAlign w:val="center"/>
          </w:tcPr>
          <w:p w14:paraId="507D2553" w14:textId="77777777" w:rsidR="00FB6A8C" w:rsidRPr="007309D3" w:rsidRDefault="00FB6A8C" w:rsidP="00FB6A8C">
            <w:pPr>
              <w:spacing w:line="260" w:lineRule="exact"/>
              <w:jc w:val="center"/>
              <w:rPr>
                <w:rFonts w:ascii="Times New Roman" w:eastAsia="標楷體" w:hAnsi="Times New Roman" w:cs="Times New Roman"/>
                <w:sz w:val="28"/>
              </w:rPr>
            </w:pPr>
            <w:r>
              <w:rPr>
                <w:rFonts w:ascii="Times New Roman" w:eastAsia="標楷體" w:hAnsi="Times New Roman" w:cs="Times New Roman" w:hint="eastAsia"/>
                <w:sz w:val="28"/>
              </w:rPr>
              <w:t>3</w:t>
            </w:r>
          </w:p>
        </w:tc>
      </w:tr>
      <w:tr w:rsidR="00FB6A8C" w:rsidRPr="007309D3" w14:paraId="2991D0FC" w14:textId="77777777" w:rsidTr="00011844">
        <w:trPr>
          <w:trHeight w:val="2760"/>
        </w:trPr>
        <w:tc>
          <w:tcPr>
            <w:tcW w:w="1661" w:type="dxa"/>
            <w:vAlign w:val="center"/>
          </w:tcPr>
          <w:p w14:paraId="67FEDA98" w14:textId="77777777" w:rsidR="00FB6A8C" w:rsidRPr="007309D3" w:rsidRDefault="00FB6A8C" w:rsidP="00FB6A8C">
            <w:pPr>
              <w:spacing w:line="260" w:lineRule="exact"/>
              <w:jc w:val="center"/>
              <w:rPr>
                <w:rFonts w:ascii="Times New Roman" w:eastAsia="標楷體" w:hAnsi="Times New Roman" w:cs="Times New Roman"/>
              </w:rPr>
            </w:pPr>
            <w:r w:rsidRPr="007309D3">
              <w:rPr>
                <w:rFonts w:ascii="Times New Roman" w:eastAsia="標楷體" w:hAnsi="Times New Roman" w:cs="Times New Roman"/>
              </w:rPr>
              <w:t>報考資格</w:t>
            </w:r>
          </w:p>
        </w:tc>
        <w:tc>
          <w:tcPr>
            <w:tcW w:w="6615" w:type="dxa"/>
          </w:tcPr>
          <w:p w14:paraId="3714F706" w14:textId="77777777" w:rsidR="00FB6A8C" w:rsidRPr="007309D3" w:rsidRDefault="00FB6A8C" w:rsidP="00FB6A8C">
            <w:pPr>
              <w:pStyle w:val="Default"/>
              <w:snapToGrid w:val="0"/>
              <w:spacing w:line="260" w:lineRule="exact"/>
              <w:jc w:val="both"/>
              <w:rPr>
                <w:rFonts w:eastAsia="標楷體"/>
                <w:color w:val="auto"/>
                <w:sz w:val="22"/>
                <w:szCs w:val="22"/>
              </w:rPr>
            </w:pPr>
            <w:r w:rsidRPr="00525DFD">
              <w:rPr>
                <w:rFonts w:eastAsia="標楷體" w:hint="eastAsia"/>
                <w:color w:val="auto"/>
                <w:sz w:val="22"/>
                <w:szCs w:val="22"/>
              </w:rPr>
              <w:t>曾在公立或已立案私立高級中等學校或同等學校畢業或具同等學力程度之具中華民國國籍學生，並符合下列申請資格之</w:t>
            </w:r>
            <w:proofErr w:type="gramStart"/>
            <w:r w:rsidRPr="00525DFD">
              <w:rPr>
                <w:rFonts w:eastAsia="標楷體" w:hint="eastAsia"/>
                <w:color w:val="auto"/>
                <w:sz w:val="22"/>
                <w:szCs w:val="22"/>
              </w:rPr>
              <w:t>一</w:t>
            </w:r>
            <w:proofErr w:type="gramEnd"/>
            <w:r w:rsidRPr="007309D3">
              <w:rPr>
                <w:rFonts w:eastAsia="標楷體" w:hint="eastAsia"/>
                <w:color w:val="auto"/>
                <w:sz w:val="22"/>
                <w:szCs w:val="22"/>
              </w:rPr>
              <w:t>：</w:t>
            </w:r>
          </w:p>
          <w:p w14:paraId="3A557A0C" w14:textId="77777777" w:rsidR="00FB6A8C" w:rsidRPr="007309D3" w:rsidRDefault="00FB6A8C" w:rsidP="00FB6A8C">
            <w:pPr>
              <w:pStyle w:val="Default"/>
              <w:numPr>
                <w:ilvl w:val="0"/>
                <w:numId w:val="2"/>
              </w:numPr>
              <w:snapToGrid w:val="0"/>
              <w:spacing w:line="260" w:lineRule="exact"/>
              <w:jc w:val="both"/>
              <w:rPr>
                <w:rFonts w:eastAsia="標楷體"/>
                <w:color w:val="auto"/>
                <w:sz w:val="22"/>
                <w:szCs w:val="22"/>
              </w:rPr>
            </w:pPr>
            <w:r w:rsidRPr="007309D3">
              <w:rPr>
                <w:rFonts w:eastAsia="標楷體" w:hint="eastAsia"/>
                <w:color w:val="auto"/>
                <w:sz w:val="22"/>
                <w:szCs w:val="22"/>
              </w:rPr>
              <w:t>持境外學歷報考且同時持國外具公信力之入學用大型測驗成績，並具有優秀的英語能力表現者。</w:t>
            </w:r>
          </w:p>
          <w:p w14:paraId="7C37E22B" w14:textId="77777777" w:rsidR="00FB6A8C" w:rsidRPr="007309D3" w:rsidRDefault="00FB6A8C" w:rsidP="00FB6A8C">
            <w:pPr>
              <w:pStyle w:val="Default"/>
              <w:numPr>
                <w:ilvl w:val="0"/>
                <w:numId w:val="2"/>
              </w:numPr>
              <w:snapToGrid w:val="0"/>
              <w:spacing w:line="260" w:lineRule="exact"/>
              <w:jc w:val="both"/>
              <w:rPr>
                <w:rFonts w:eastAsia="標楷體"/>
                <w:color w:val="auto"/>
                <w:sz w:val="22"/>
                <w:szCs w:val="22"/>
              </w:rPr>
            </w:pPr>
            <w:r w:rsidRPr="00525DFD">
              <w:rPr>
                <w:rFonts w:eastAsia="標楷體" w:hint="eastAsia"/>
                <w:color w:val="auto"/>
                <w:sz w:val="22"/>
                <w:szCs w:val="22"/>
              </w:rPr>
              <w:t>新住民子女：新住民定義為「</w:t>
            </w:r>
            <w:proofErr w:type="gramStart"/>
            <w:r w:rsidRPr="00525DFD">
              <w:rPr>
                <w:rFonts w:eastAsia="標楷體" w:hint="eastAsia"/>
                <w:color w:val="auto"/>
                <w:sz w:val="22"/>
                <w:szCs w:val="22"/>
              </w:rPr>
              <w:t>現或曾</w:t>
            </w:r>
            <w:proofErr w:type="gramEnd"/>
            <w:r w:rsidRPr="00525DFD">
              <w:rPr>
                <w:rFonts w:eastAsia="標楷體" w:hint="eastAsia"/>
                <w:color w:val="auto"/>
                <w:sz w:val="22"/>
                <w:szCs w:val="22"/>
              </w:rPr>
              <w:t>與我國國人結婚之外國人、無國籍人、大陸地區人民、香港或澳門居民及因婚姻歸化取得我國國籍之無戶籍國民，且在</w:t>
            </w:r>
            <w:proofErr w:type="gramStart"/>
            <w:r w:rsidRPr="00525DFD">
              <w:rPr>
                <w:rFonts w:eastAsia="標楷體" w:hint="eastAsia"/>
                <w:color w:val="auto"/>
                <w:sz w:val="22"/>
                <w:szCs w:val="22"/>
              </w:rPr>
              <w:t>臺</w:t>
            </w:r>
            <w:proofErr w:type="gramEnd"/>
            <w:r w:rsidRPr="00525DFD">
              <w:rPr>
                <w:rFonts w:eastAsia="標楷體" w:hint="eastAsia"/>
                <w:color w:val="auto"/>
                <w:sz w:val="22"/>
                <w:szCs w:val="22"/>
              </w:rPr>
              <w:t>合法居留、定居</w:t>
            </w:r>
            <w:proofErr w:type="gramStart"/>
            <w:r w:rsidRPr="00525DFD">
              <w:rPr>
                <w:rFonts w:eastAsia="標楷體" w:hint="eastAsia"/>
                <w:color w:val="auto"/>
                <w:sz w:val="22"/>
                <w:szCs w:val="22"/>
              </w:rPr>
              <w:t>設有戶者</w:t>
            </w:r>
            <w:proofErr w:type="gramEnd"/>
            <w:r w:rsidRPr="00525DFD">
              <w:rPr>
                <w:rFonts w:eastAsia="標楷體" w:hint="eastAsia"/>
                <w:color w:val="auto"/>
                <w:sz w:val="22"/>
                <w:szCs w:val="22"/>
              </w:rPr>
              <w:t>」，新住民子女定義為「前款新住民之在</w:t>
            </w:r>
            <w:proofErr w:type="gramStart"/>
            <w:r w:rsidRPr="00525DFD">
              <w:rPr>
                <w:rFonts w:eastAsia="標楷體" w:hint="eastAsia"/>
                <w:color w:val="auto"/>
                <w:sz w:val="22"/>
                <w:szCs w:val="22"/>
              </w:rPr>
              <w:t>臺</w:t>
            </w:r>
            <w:proofErr w:type="gramEnd"/>
            <w:r w:rsidRPr="00525DFD">
              <w:rPr>
                <w:rFonts w:eastAsia="標楷體" w:hint="eastAsia"/>
                <w:color w:val="auto"/>
                <w:sz w:val="22"/>
                <w:szCs w:val="22"/>
              </w:rPr>
              <w:t>已設籍子女」</w:t>
            </w:r>
            <w:r w:rsidRPr="00840D30">
              <w:rPr>
                <w:rFonts w:eastAsia="標楷體" w:hint="eastAsia"/>
                <w:color w:val="auto"/>
                <w:sz w:val="22"/>
                <w:szCs w:val="22"/>
              </w:rPr>
              <w:t>。</w:t>
            </w:r>
          </w:p>
          <w:p w14:paraId="06EC743A" w14:textId="77777777" w:rsidR="00FB6A8C" w:rsidRPr="007309D3" w:rsidRDefault="00FB6A8C" w:rsidP="00FB6A8C">
            <w:pPr>
              <w:pStyle w:val="Default"/>
              <w:numPr>
                <w:ilvl w:val="0"/>
                <w:numId w:val="2"/>
              </w:numPr>
              <w:snapToGrid w:val="0"/>
              <w:spacing w:line="260" w:lineRule="exact"/>
              <w:jc w:val="both"/>
              <w:rPr>
                <w:rFonts w:eastAsia="標楷體"/>
                <w:color w:val="auto"/>
                <w:sz w:val="22"/>
                <w:szCs w:val="22"/>
              </w:rPr>
            </w:pPr>
            <w:r w:rsidRPr="007309D3">
              <w:rPr>
                <w:rFonts w:eastAsia="標楷體" w:hint="eastAsia"/>
                <w:color w:val="auto"/>
                <w:sz w:val="22"/>
                <w:szCs w:val="22"/>
              </w:rPr>
              <w:t>經濟弱勢學生（符合低收入戶或中低收入戶資格者）。</w:t>
            </w:r>
          </w:p>
          <w:p w14:paraId="38337810" w14:textId="77777777" w:rsidR="00FB6A8C" w:rsidRPr="007309D3" w:rsidRDefault="00FB6A8C" w:rsidP="00FB6A8C">
            <w:pPr>
              <w:pStyle w:val="Default"/>
              <w:numPr>
                <w:ilvl w:val="0"/>
                <w:numId w:val="2"/>
              </w:numPr>
              <w:snapToGrid w:val="0"/>
              <w:spacing w:line="260" w:lineRule="exact"/>
              <w:jc w:val="both"/>
              <w:rPr>
                <w:rFonts w:eastAsia="標楷體"/>
                <w:sz w:val="22"/>
              </w:rPr>
            </w:pPr>
            <w:r w:rsidRPr="007309D3">
              <w:rPr>
                <w:rFonts w:eastAsia="標楷體" w:hint="eastAsia"/>
                <w:color w:val="auto"/>
                <w:sz w:val="22"/>
                <w:szCs w:val="22"/>
              </w:rPr>
              <w:t>曾經在高中或高職期間參加國內外藝術、影視媒體或設計領域相關之全國技藝競賽、全國專題競賽，或者其他縣市政府等級之競賽者，持有證明，並獲教師推薦或表現優異者，得報考本學系特殊選才招生考試。</w:t>
            </w:r>
          </w:p>
        </w:tc>
      </w:tr>
      <w:tr w:rsidR="00FB6A8C" w:rsidRPr="007309D3" w14:paraId="039E07D2" w14:textId="77777777" w:rsidTr="00011844">
        <w:tc>
          <w:tcPr>
            <w:tcW w:w="1661" w:type="dxa"/>
            <w:vAlign w:val="center"/>
          </w:tcPr>
          <w:p w14:paraId="5A0B1ED9" w14:textId="77777777" w:rsidR="00FB6A8C" w:rsidRPr="007309D3" w:rsidRDefault="00FB6A8C" w:rsidP="00FB6A8C">
            <w:pPr>
              <w:spacing w:line="260" w:lineRule="exact"/>
              <w:jc w:val="center"/>
              <w:rPr>
                <w:rFonts w:ascii="Times New Roman" w:eastAsia="標楷體" w:hAnsi="Times New Roman" w:cs="Times New Roman"/>
              </w:rPr>
            </w:pPr>
            <w:r w:rsidRPr="007309D3">
              <w:rPr>
                <w:rFonts w:ascii="Times New Roman" w:eastAsia="標楷體" w:hAnsi="Times New Roman" w:cs="Times New Roman"/>
              </w:rPr>
              <w:t>指定繳交資料</w:t>
            </w:r>
          </w:p>
        </w:tc>
        <w:tc>
          <w:tcPr>
            <w:tcW w:w="6615" w:type="dxa"/>
          </w:tcPr>
          <w:p w14:paraId="77AB59B9" w14:textId="77777777" w:rsidR="00FB6A8C" w:rsidRPr="007309D3" w:rsidRDefault="00FB6A8C" w:rsidP="00FB6A8C">
            <w:pPr>
              <w:pStyle w:val="Default"/>
              <w:spacing w:line="260" w:lineRule="exact"/>
              <w:jc w:val="both"/>
              <w:rPr>
                <w:rFonts w:eastAsia="標楷體"/>
                <w:color w:val="auto"/>
                <w:sz w:val="22"/>
              </w:rPr>
            </w:pPr>
            <w:r w:rsidRPr="007309D3">
              <w:rPr>
                <w:rFonts w:eastAsia="標楷體"/>
                <w:color w:val="auto"/>
                <w:sz w:val="22"/>
                <w:szCs w:val="23"/>
              </w:rPr>
              <w:t>1.</w:t>
            </w:r>
            <w:r w:rsidRPr="007309D3">
              <w:rPr>
                <w:rFonts w:eastAsia="標楷體" w:hint="eastAsia"/>
                <w:color w:val="auto"/>
                <w:sz w:val="22"/>
                <w:szCs w:val="22"/>
              </w:rPr>
              <w:t>特殊選才資格證明資料</w:t>
            </w:r>
            <w:r w:rsidRPr="007309D3">
              <w:rPr>
                <w:rFonts w:eastAsia="標楷體" w:hint="eastAsia"/>
                <w:color w:val="auto"/>
                <w:sz w:val="22"/>
                <w:szCs w:val="22"/>
              </w:rPr>
              <w:t>(</w:t>
            </w:r>
            <w:r w:rsidRPr="007309D3">
              <w:rPr>
                <w:rFonts w:eastAsia="標楷體" w:hint="eastAsia"/>
                <w:color w:val="auto"/>
                <w:sz w:val="22"/>
                <w:szCs w:val="22"/>
              </w:rPr>
              <w:t>以特殊才能報考者須含</w:t>
            </w:r>
            <w:r w:rsidRPr="007309D3">
              <w:rPr>
                <w:rFonts w:eastAsia="標楷體" w:hint="eastAsia"/>
                <w:color w:val="auto"/>
                <w:sz w:val="22"/>
                <w:szCs w:val="22"/>
              </w:rPr>
              <w:t>800</w:t>
            </w:r>
            <w:r w:rsidRPr="007309D3">
              <w:rPr>
                <w:rFonts w:eastAsia="標楷體" w:hint="eastAsia"/>
                <w:color w:val="auto"/>
                <w:sz w:val="22"/>
                <w:szCs w:val="22"/>
              </w:rPr>
              <w:t>字以內特殊才能學習經歷說明</w:t>
            </w:r>
            <w:r w:rsidRPr="007309D3">
              <w:rPr>
                <w:rFonts w:eastAsia="標楷體" w:hint="eastAsia"/>
                <w:color w:val="auto"/>
                <w:sz w:val="22"/>
                <w:szCs w:val="22"/>
              </w:rPr>
              <w:t>)</w:t>
            </w:r>
            <w:r w:rsidRPr="007309D3">
              <w:rPr>
                <w:rFonts w:eastAsia="標楷體"/>
                <w:color w:val="auto"/>
                <w:sz w:val="22"/>
                <w:szCs w:val="23"/>
              </w:rPr>
              <w:t>；</w:t>
            </w:r>
            <w:r w:rsidRPr="007309D3">
              <w:rPr>
                <w:rFonts w:eastAsia="標楷體"/>
                <w:color w:val="auto"/>
                <w:sz w:val="22"/>
                <w:szCs w:val="23"/>
              </w:rPr>
              <w:t>2.</w:t>
            </w:r>
            <w:r w:rsidRPr="007309D3">
              <w:rPr>
                <w:rFonts w:eastAsia="標楷體"/>
                <w:color w:val="auto"/>
                <w:sz w:val="22"/>
                <w:szCs w:val="23"/>
              </w:rPr>
              <w:t>自傳</w:t>
            </w:r>
            <w:r w:rsidRPr="007309D3">
              <w:rPr>
                <w:rFonts w:eastAsia="標楷體"/>
                <w:color w:val="auto"/>
                <w:sz w:val="22"/>
                <w:szCs w:val="23"/>
              </w:rPr>
              <w:t>(</w:t>
            </w:r>
            <w:r w:rsidRPr="007309D3">
              <w:rPr>
                <w:rFonts w:eastAsia="標楷體"/>
                <w:color w:val="auto"/>
                <w:sz w:val="22"/>
                <w:szCs w:val="23"/>
              </w:rPr>
              <w:t>含個人成長歷程、專長特殊表現</w:t>
            </w:r>
            <w:r w:rsidRPr="007309D3">
              <w:rPr>
                <w:rFonts w:eastAsia="標楷體"/>
                <w:color w:val="auto"/>
                <w:sz w:val="22"/>
                <w:szCs w:val="23"/>
              </w:rPr>
              <w:t>)</w:t>
            </w:r>
            <w:r w:rsidRPr="007309D3">
              <w:rPr>
                <w:rFonts w:eastAsia="標楷體"/>
                <w:color w:val="auto"/>
                <w:sz w:val="22"/>
                <w:szCs w:val="23"/>
              </w:rPr>
              <w:t>；</w:t>
            </w:r>
            <w:r w:rsidRPr="007309D3">
              <w:rPr>
                <w:rFonts w:eastAsia="標楷體"/>
                <w:color w:val="auto"/>
                <w:sz w:val="22"/>
                <w:szCs w:val="23"/>
              </w:rPr>
              <w:t>3.</w:t>
            </w:r>
            <w:r w:rsidRPr="007309D3">
              <w:rPr>
                <w:rFonts w:eastAsia="標楷體"/>
                <w:color w:val="auto"/>
                <w:sz w:val="22"/>
                <w:szCs w:val="23"/>
              </w:rPr>
              <w:t>讀書計畫</w:t>
            </w:r>
            <w:r w:rsidRPr="007309D3">
              <w:rPr>
                <w:rFonts w:eastAsia="標楷體"/>
                <w:color w:val="auto"/>
                <w:sz w:val="22"/>
                <w:szCs w:val="23"/>
              </w:rPr>
              <w:t>(</w:t>
            </w:r>
            <w:r w:rsidRPr="007309D3">
              <w:rPr>
                <w:rFonts w:eastAsia="標楷體"/>
                <w:color w:val="auto"/>
                <w:sz w:val="22"/>
                <w:szCs w:val="23"/>
              </w:rPr>
              <w:t>含申請動機</w:t>
            </w:r>
            <w:r w:rsidRPr="007309D3">
              <w:rPr>
                <w:rFonts w:eastAsia="標楷體"/>
                <w:color w:val="auto"/>
                <w:sz w:val="22"/>
                <w:szCs w:val="23"/>
              </w:rPr>
              <w:t>)</w:t>
            </w:r>
            <w:r w:rsidRPr="007309D3">
              <w:rPr>
                <w:rFonts w:eastAsia="標楷體"/>
                <w:color w:val="auto"/>
                <w:sz w:val="22"/>
                <w:szCs w:val="23"/>
              </w:rPr>
              <w:t>；</w:t>
            </w:r>
            <w:r w:rsidRPr="007309D3">
              <w:rPr>
                <w:rFonts w:eastAsia="標楷體"/>
                <w:color w:val="auto"/>
                <w:sz w:val="22"/>
                <w:szCs w:val="23"/>
              </w:rPr>
              <w:t>4.</w:t>
            </w:r>
            <w:r w:rsidRPr="007309D3">
              <w:rPr>
                <w:rFonts w:eastAsia="標楷體"/>
                <w:color w:val="auto"/>
                <w:sz w:val="22"/>
                <w:szCs w:val="23"/>
              </w:rPr>
              <w:t>其他特殊成就或表現證明文件。</w:t>
            </w:r>
          </w:p>
        </w:tc>
      </w:tr>
      <w:tr w:rsidR="00FB6A8C" w:rsidRPr="003F3524" w14:paraId="1F8B11F1" w14:textId="77777777" w:rsidTr="00011844">
        <w:trPr>
          <w:trHeight w:val="1622"/>
        </w:trPr>
        <w:tc>
          <w:tcPr>
            <w:tcW w:w="1661" w:type="dxa"/>
            <w:vAlign w:val="center"/>
          </w:tcPr>
          <w:p w14:paraId="609EAF45" w14:textId="77777777" w:rsidR="00FB6A8C" w:rsidRPr="007309D3" w:rsidRDefault="00FB6A8C" w:rsidP="00FB6A8C">
            <w:pPr>
              <w:spacing w:line="260" w:lineRule="exact"/>
              <w:jc w:val="center"/>
              <w:rPr>
                <w:rFonts w:ascii="Times New Roman" w:eastAsia="標楷體" w:hAnsi="Times New Roman" w:cs="Times New Roman"/>
              </w:rPr>
            </w:pPr>
            <w:r w:rsidRPr="007309D3">
              <w:rPr>
                <w:rFonts w:ascii="Times New Roman" w:eastAsia="標楷體" w:hAnsi="Times New Roman" w:cs="Times New Roman"/>
              </w:rPr>
              <w:t>考試項目</w:t>
            </w:r>
          </w:p>
          <w:p w14:paraId="42B6DBCF" w14:textId="77777777" w:rsidR="00FB6A8C" w:rsidRPr="007309D3" w:rsidRDefault="00FB6A8C" w:rsidP="00FB6A8C">
            <w:pPr>
              <w:spacing w:line="260" w:lineRule="exact"/>
              <w:jc w:val="center"/>
              <w:rPr>
                <w:rFonts w:ascii="Times New Roman" w:eastAsia="標楷體" w:hAnsi="Times New Roman" w:cs="Times New Roman"/>
              </w:rPr>
            </w:pPr>
            <w:r w:rsidRPr="007309D3">
              <w:rPr>
                <w:rFonts w:ascii="Times New Roman" w:eastAsia="標楷體" w:hAnsi="Times New Roman" w:cs="Times New Roman"/>
              </w:rPr>
              <w:t>及</w:t>
            </w:r>
          </w:p>
          <w:p w14:paraId="7C1B63B2" w14:textId="77777777" w:rsidR="00FB6A8C" w:rsidRPr="007309D3" w:rsidRDefault="00FB6A8C" w:rsidP="00FB6A8C">
            <w:pPr>
              <w:spacing w:line="260" w:lineRule="exact"/>
              <w:jc w:val="center"/>
              <w:rPr>
                <w:rFonts w:ascii="Times New Roman" w:eastAsia="標楷體" w:hAnsi="Times New Roman" w:cs="Times New Roman"/>
              </w:rPr>
            </w:pPr>
            <w:r w:rsidRPr="007309D3">
              <w:rPr>
                <w:rFonts w:ascii="Times New Roman" w:eastAsia="標楷體" w:hAnsi="Times New Roman" w:cs="Times New Roman"/>
              </w:rPr>
              <w:t>成績比例</w:t>
            </w:r>
          </w:p>
        </w:tc>
        <w:tc>
          <w:tcPr>
            <w:tcW w:w="6615" w:type="dxa"/>
            <w:vAlign w:val="center"/>
          </w:tcPr>
          <w:p w14:paraId="41CC9927" w14:textId="77777777" w:rsidR="00FB6A8C" w:rsidRPr="00D37879" w:rsidRDefault="00FB6A8C" w:rsidP="00FB6A8C">
            <w:pPr>
              <w:pStyle w:val="a4"/>
              <w:numPr>
                <w:ilvl w:val="0"/>
                <w:numId w:val="3"/>
              </w:numPr>
              <w:spacing w:line="260" w:lineRule="exact"/>
              <w:ind w:leftChars="0"/>
              <w:jc w:val="both"/>
              <w:rPr>
                <w:rFonts w:ascii="Times New Roman" w:eastAsia="標楷體" w:hAnsi="Times New Roman" w:cs="Times New Roman"/>
                <w:sz w:val="22"/>
              </w:rPr>
            </w:pPr>
            <w:r w:rsidRPr="00D37879">
              <w:rPr>
                <w:rFonts w:ascii="Times New Roman" w:eastAsia="標楷體" w:hAnsi="Times New Roman" w:cs="Times New Roman"/>
                <w:b/>
                <w:sz w:val="22"/>
              </w:rPr>
              <w:t>審查</w:t>
            </w:r>
            <w:r w:rsidRPr="00D37879">
              <w:rPr>
                <w:rFonts w:ascii="Times New Roman" w:eastAsia="標楷體" w:hAnsi="Times New Roman" w:cs="Times New Roman" w:hint="eastAsia"/>
                <w:b/>
                <w:sz w:val="22"/>
              </w:rPr>
              <w:t>資料</w:t>
            </w:r>
            <w:r w:rsidRPr="00D37879">
              <w:rPr>
                <w:rFonts w:ascii="Times New Roman" w:eastAsia="標楷體" w:hAnsi="Times New Roman" w:cs="Times New Roman"/>
                <w:b/>
                <w:sz w:val="22"/>
              </w:rPr>
              <w:t>(70</w:t>
            </w:r>
            <w:r w:rsidRPr="00D37879">
              <w:rPr>
                <w:rFonts w:ascii="Times New Roman" w:eastAsia="標楷體" w:hAnsi="Times New Roman" w:cs="Times New Roman"/>
                <w:sz w:val="22"/>
              </w:rPr>
              <w:t>％</w:t>
            </w:r>
            <w:proofErr w:type="gramStart"/>
            <w:r w:rsidRPr="00D37879">
              <w:rPr>
                <w:rFonts w:ascii="Times New Roman" w:eastAsia="標楷體" w:hAnsi="Times New Roman" w:cs="Times New Roman"/>
                <w:sz w:val="22"/>
              </w:rPr>
              <w:t>）</w:t>
            </w:r>
            <w:proofErr w:type="gramEnd"/>
          </w:p>
          <w:p w14:paraId="611C3FD0" w14:textId="77777777" w:rsidR="00FB6A8C" w:rsidRPr="00D37879" w:rsidRDefault="00FB6A8C" w:rsidP="00FB6A8C">
            <w:pPr>
              <w:spacing w:line="260" w:lineRule="exact"/>
              <w:jc w:val="both"/>
              <w:rPr>
                <w:rFonts w:ascii="Times New Roman" w:eastAsia="標楷體" w:hAnsi="Times New Roman" w:cs="Times New Roman"/>
                <w:sz w:val="22"/>
              </w:rPr>
            </w:pPr>
            <w:r w:rsidRPr="00D37879">
              <w:rPr>
                <w:rFonts w:ascii="Times New Roman" w:eastAsia="標楷體" w:hAnsi="Times New Roman" w:cs="Times New Roman"/>
                <w:sz w:val="22"/>
              </w:rPr>
              <w:t>項目：</w:t>
            </w:r>
            <w:r w:rsidRPr="00D37879">
              <w:rPr>
                <w:rFonts w:ascii="Times New Roman" w:eastAsia="標楷體" w:hAnsi="Times New Roman" w:cs="Times New Roman" w:hint="eastAsia"/>
                <w:sz w:val="22"/>
              </w:rPr>
              <w:t>特殊選才資格證明資料</w:t>
            </w:r>
            <w:r w:rsidRPr="00D37879">
              <w:rPr>
                <w:rFonts w:ascii="Times New Roman" w:eastAsia="標楷體" w:hAnsi="Times New Roman" w:cs="Times New Roman"/>
                <w:sz w:val="22"/>
              </w:rPr>
              <w:t>(</w:t>
            </w:r>
            <w:proofErr w:type="gramStart"/>
            <w:r w:rsidRPr="00D37879">
              <w:rPr>
                <w:rFonts w:ascii="Times New Roman" w:eastAsia="標楷體" w:hAnsi="Times New Roman" w:cs="Times New Roman" w:hint="eastAsia"/>
                <w:sz w:val="22"/>
              </w:rPr>
              <w:t>佔</w:t>
            </w:r>
            <w:proofErr w:type="gramEnd"/>
            <w:r w:rsidRPr="00D37879">
              <w:rPr>
                <w:rFonts w:ascii="Times New Roman" w:eastAsia="標楷體" w:hAnsi="Times New Roman" w:cs="Times New Roman"/>
                <w:sz w:val="22"/>
              </w:rPr>
              <w:t xml:space="preserve"> 40 %)</w:t>
            </w:r>
            <w:r w:rsidRPr="00D37879">
              <w:rPr>
                <w:rFonts w:ascii="Times New Roman" w:eastAsia="標楷體" w:hAnsi="Times New Roman" w:cs="Times New Roman" w:hint="eastAsia"/>
                <w:sz w:val="22"/>
              </w:rPr>
              <w:t>、自傳</w:t>
            </w:r>
            <w:r w:rsidRPr="00D37879">
              <w:rPr>
                <w:rFonts w:ascii="Times New Roman" w:eastAsia="標楷體" w:hAnsi="Times New Roman" w:cs="Times New Roman"/>
                <w:sz w:val="22"/>
              </w:rPr>
              <w:t>(</w:t>
            </w:r>
            <w:r w:rsidRPr="00D37879">
              <w:rPr>
                <w:rFonts w:ascii="Times New Roman" w:eastAsia="標楷體" w:hAnsi="Times New Roman" w:cs="Times New Roman" w:hint="eastAsia"/>
                <w:sz w:val="22"/>
              </w:rPr>
              <w:t>含個人成長歷程、專長特殊表現</w:t>
            </w:r>
            <w:r w:rsidRPr="00D37879">
              <w:rPr>
                <w:rFonts w:ascii="Times New Roman" w:eastAsia="標楷體" w:hAnsi="Times New Roman" w:cs="Times New Roman"/>
                <w:sz w:val="22"/>
              </w:rPr>
              <w:t>)(</w:t>
            </w:r>
            <w:proofErr w:type="gramStart"/>
            <w:r w:rsidRPr="00D37879">
              <w:rPr>
                <w:rFonts w:ascii="Times New Roman" w:eastAsia="標楷體" w:hAnsi="Times New Roman" w:cs="Times New Roman" w:hint="eastAsia"/>
                <w:sz w:val="22"/>
              </w:rPr>
              <w:t>佔</w:t>
            </w:r>
            <w:proofErr w:type="gramEnd"/>
            <w:r w:rsidRPr="00D37879">
              <w:rPr>
                <w:rFonts w:ascii="Times New Roman" w:eastAsia="標楷體" w:hAnsi="Times New Roman" w:cs="Times New Roman"/>
                <w:sz w:val="22"/>
              </w:rPr>
              <w:t>30 %)</w:t>
            </w:r>
            <w:r w:rsidRPr="00D37879">
              <w:rPr>
                <w:rFonts w:ascii="Times New Roman" w:eastAsia="標楷體" w:hAnsi="Times New Roman" w:cs="Times New Roman" w:hint="eastAsia"/>
                <w:sz w:val="22"/>
              </w:rPr>
              <w:t>、讀書計畫</w:t>
            </w:r>
            <w:r w:rsidRPr="00D37879">
              <w:rPr>
                <w:rFonts w:ascii="Times New Roman" w:eastAsia="標楷體" w:hAnsi="Times New Roman" w:cs="Times New Roman"/>
                <w:sz w:val="22"/>
              </w:rPr>
              <w:t>(</w:t>
            </w:r>
            <w:r w:rsidRPr="00D37879">
              <w:rPr>
                <w:rFonts w:ascii="Times New Roman" w:eastAsia="標楷體" w:hAnsi="Times New Roman" w:cs="Times New Roman" w:hint="eastAsia"/>
                <w:sz w:val="22"/>
              </w:rPr>
              <w:t>含申請動機</w:t>
            </w:r>
            <w:r w:rsidRPr="00D37879">
              <w:rPr>
                <w:rFonts w:ascii="Times New Roman" w:eastAsia="標楷體" w:hAnsi="Times New Roman" w:cs="Times New Roman"/>
                <w:sz w:val="22"/>
              </w:rPr>
              <w:t>)</w:t>
            </w:r>
            <w:r w:rsidRPr="00D37879">
              <w:rPr>
                <w:rFonts w:ascii="Times New Roman" w:eastAsia="標楷體" w:hAnsi="Times New Roman" w:cs="Times New Roman" w:hint="eastAsia"/>
                <w:sz w:val="22"/>
              </w:rPr>
              <w:t>（</w:t>
            </w:r>
            <w:proofErr w:type="gramStart"/>
            <w:r w:rsidRPr="00D37879">
              <w:rPr>
                <w:rFonts w:ascii="Times New Roman" w:eastAsia="標楷體" w:hAnsi="Times New Roman" w:cs="Times New Roman" w:hint="eastAsia"/>
                <w:sz w:val="22"/>
              </w:rPr>
              <w:t>佔</w:t>
            </w:r>
            <w:proofErr w:type="gramEnd"/>
            <w:r w:rsidRPr="00D37879">
              <w:rPr>
                <w:rFonts w:ascii="Times New Roman" w:eastAsia="標楷體" w:hAnsi="Times New Roman" w:cs="Times New Roman"/>
                <w:sz w:val="22"/>
              </w:rPr>
              <w:t xml:space="preserve"> 20 %</w:t>
            </w:r>
            <w:r w:rsidRPr="00D37879">
              <w:rPr>
                <w:rFonts w:ascii="Times New Roman" w:eastAsia="標楷體" w:hAnsi="Times New Roman" w:cs="Times New Roman" w:hint="eastAsia"/>
                <w:sz w:val="22"/>
              </w:rPr>
              <w:t>）、其他特殊成就或表現證明文件</w:t>
            </w:r>
            <w:r w:rsidRPr="00D37879">
              <w:rPr>
                <w:rFonts w:ascii="Times New Roman" w:eastAsia="標楷體" w:hAnsi="Times New Roman" w:cs="Times New Roman"/>
                <w:sz w:val="22"/>
              </w:rPr>
              <w:t>(</w:t>
            </w:r>
            <w:proofErr w:type="gramStart"/>
            <w:r w:rsidRPr="00D37879">
              <w:rPr>
                <w:rFonts w:ascii="Times New Roman" w:eastAsia="標楷體" w:hAnsi="Times New Roman" w:cs="Times New Roman" w:hint="eastAsia"/>
                <w:sz w:val="22"/>
              </w:rPr>
              <w:t>佔</w:t>
            </w:r>
            <w:proofErr w:type="gramEnd"/>
            <w:r w:rsidRPr="00D37879">
              <w:rPr>
                <w:rFonts w:ascii="Times New Roman" w:eastAsia="標楷體" w:hAnsi="Times New Roman" w:cs="Times New Roman"/>
                <w:sz w:val="22"/>
              </w:rPr>
              <w:t>10 %)</w:t>
            </w:r>
            <w:r w:rsidRPr="00D37879">
              <w:rPr>
                <w:rFonts w:ascii="Times New Roman" w:eastAsia="標楷體" w:hAnsi="Times New Roman" w:cs="Times New Roman" w:hint="eastAsia"/>
                <w:sz w:val="22"/>
              </w:rPr>
              <w:t>。</w:t>
            </w:r>
          </w:p>
          <w:p w14:paraId="13C8F5D1" w14:textId="77777777" w:rsidR="00FB6A8C" w:rsidRPr="003F3524" w:rsidRDefault="00FB6A8C" w:rsidP="00FB6A8C">
            <w:pPr>
              <w:pStyle w:val="a4"/>
              <w:numPr>
                <w:ilvl w:val="0"/>
                <w:numId w:val="3"/>
              </w:numPr>
              <w:spacing w:line="260" w:lineRule="exact"/>
              <w:ind w:leftChars="0"/>
              <w:jc w:val="both"/>
              <w:rPr>
                <w:rFonts w:ascii="Times New Roman" w:eastAsia="標楷體" w:hAnsi="Times New Roman" w:cs="Times New Roman"/>
                <w:sz w:val="22"/>
              </w:rPr>
            </w:pPr>
            <w:r w:rsidRPr="00D37879">
              <w:rPr>
                <w:rFonts w:ascii="Times New Roman" w:eastAsia="標楷體" w:hAnsi="Times New Roman" w:cs="Times New Roman"/>
                <w:b/>
                <w:sz w:val="22"/>
              </w:rPr>
              <w:t>面試</w:t>
            </w:r>
            <w:r w:rsidRPr="00D37879">
              <w:rPr>
                <w:rFonts w:ascii="Times New Roman" w:eastAsia="標楷體" w:hAnsi="Times New Roman" w:cs="Times New Roman"/>
                <w:bCs/>
                <w:sz w:val="22"/>
              </w:rPr>
              <w:t>（</w:t>
            </w:r>
            <w:r w:rsidRPr="00D37879">
              <w:rPr>
                <w:rFonts w:ascii="Times New Roman" w:eastAsia="標楷體" w:hAnsi="Times New Roman" w:cs="Times New Roman" w:hint="eastAsia"/>
                <w:bCs/>
                <w:sz w:val="22"/>
              </w:rPr>
              <w:t>30</w:t>
            </w:r>
            <w:r w:rsidRPr="00D37879">
              <w:rPr>
                <w:rFonts w:ascii="Times New Roman" w:eastAsia="標楷體" w:hAnsi="Times New Roman" w:cs="Times New Roman"/>
                <w:bCs/>
                <w:sz w:val="22"/>
              </w:rPr>
              <w:t xml:space="preserve"> </w:t>
            </w:r>
            <w:r w:rsidRPr="00D37879">
              <w:rPr>
                <w:rFonts w:ascii="Times New Roman" w:eastAsia="標楷體" w:hAnsi="Times New Roman" w:cs="Times New Roman"/>
                <w:bCs/>
                <w:sz w:val="22"/>
              </w:rPr>
              <w:t>％）</w:t>
            </w:r>
          </w:p>
        </w:tc>
      </w:tr>
      <w:tr w:rsidR="00FB6A8C" w:rsidRPr="007309D3" w14:paraId="2798F018" w14:textId="77777777" w:rsidTr="00FB6A8C">
        <w:trPr>
          <w:trHeight w:val="1232"/>
        </w:trPr>
        <w:tc>
          <w:tcPr>
            <w:tcW w:w="1661" w:type="dxa"/>
            <w:vAlign w:val="center"/>
          </w:tcPr>
          <w:p w14:paraId="353C1B2D" w14:textId="77777777" w:rsidR="00FB6A8C" w:rsidRPr="007309D3" w:rsidRDefault="00FB6A8C" w:rsidP="00FB6A8C">
            <w:pPr>
              <w:spacing w:line="260" w:lineRule="exact"/>
              <w:jc w:val="center"/>
              <w:rPr>
                <w:rFonts w:ascii="Times New Roman" w:eastAsia="標楷體" w:hAnsi="Times New Roman" w:cs="Times New Roman"/>
              </w:rPr>
            </w:pPr>
            <w:r w:rsidRPr="007309D3">
              <w:rPr>
                <w:rFonts w:ascii="Times New Roman" w:eastAsia="標楷體" w:hAnsi="Times New Roman" w:cs="Times New Roman"/>
              </w:rPr>
              <w:t>同分參酌順序</w:t>
            </w:r>
          </w:p>
        </w:tc>
        <w:tc>
          <w:tcPr>
            <w:tcW w:w="6615" w:type="dxa"/>
            <w:vAlign w:val="center"/>
          </w:tcPr>
          <w:p w14:paraId="5DEB51E8" w14:textId="77777777" w:rsidR="00FB6A8C" w:rsidRPr="007309D3" w:rsidRDefault="00FB6A8C" w:rsidP="00FB6A8C">
            <w:pPr>
              <w:spacing w:line="260" w:lineRule="exact"/>
              <w:jc w:val="both"/>
              <w:rPr>
                <w:rFonts w:ascii="Times New Roman" w:eastAsia="標楷體" w:hAnsi="Times New Roman" w:cs="Times New Roman"/>
                <w:sz w:val="22"/>
              </w:rPr>
            </w:pPr>
            <w:r w:rsidRPr="007309D3">
              <w:rPr>
                <w:rFonts w:ascii="Times New Roman" w:eastAsia="標楷體" w:hAnsi="Times New Roman" w:cs="Times New Roman" w:hint="eastAsia"/>
                <w:sz w:val="22"/>
              </w:rPr>
              <w:t>1.</w:t>
            </w:r>
            <w:r w:rsidRPr="007309D3">
              <w:rPr>
                <w:rFonts w:ascii="Times New Roman" w:eastAsia="標楷體" w:hAnsi="Times New Roman" w:cs="Times New Roman"/>
                <w:sz w:val="22"/>
              </w:rPr>
              <w:t xml:space="preserve"> </w:t>
            </w:r>
            <w:r w:rsidRPr="007309D3">
              <w:rPr>
                <w:rFonts w:ascii="Times New Roman" w:eastAsia="標楷體" w:hAnsi="Times New Roman" w:cs="Times New Roman"/>
                <w:sz w:val="22"/>
              </w:rPr>
              <w:t>特殊選才資格證明資料</w:t>
            </w:r>
          </w:p>
          <w:p w14:paraId="27B212D7" w14:textId="77777777" w:rsidR="00FB6A8C" w:rsidRPr="007309D3" w:rsidRDefault="00FB6A8C" w:rsidP="00FB6A8C">
            <w:pPr>
              <w:spacing w:line="260" w:lineRule="exact"/>
              <w:jc w:val="both"/>
              <w:rPr>
                <w:rFonts w:ascii="Times New Roman" w:eastAsia="標楷體" w:hAnsi="Times New Roman" w:cs="Times New Roman"/>
                <w:sz w:val="22"/>
              </w:rPr>
            </w:pPr>
            <w:r w:rsidRPr="007309D3">
              <w:rPr>
                <w:rFonts w:ascii="Times New Roman" w:eastAsia="標楷體" w:hAnsi="Times New Roman" w:cs="Times New Roman" w:hint="eastAsia"/>
                <w:sz w:val="22"/>
              </w:rPr>
              <w:t>2.</w:t>
            </w:r>
            <w:r w:rsidRPr="007309D3">
              <w:rPr>
                <w:rFonts w:ascii="Times New Roman" w:eastAsia="標楷體" w:hAnsi="Times New Roman" w:cs="Times New Roman"/>
                <w:sz w:val="22"/>
              </w:rPr>
              <w:t xml:space="preserve"> </w:t>
            </w:r>
            <w:r w:rsidRPr="007309D3">
              <w:rPr>
                <w:rFonts w:ascii="Times New Roman" w:eastAsia="標楷體" w:hAnsi="Times New Roman" w:cs="Times New Roman"/>
                <w:sz w:val="22"/>
              </w:rPr>
              <w:t>自傳</w:t>
            </w:r>
            <w:r w:rsidRPr="007309D3">
              <w:rPr>
                <w:rFonts w:ascii="Times New Roman" w:eastAsia="標楷體" w:hAnsi="Times New Roman" w:cs="Times New Roman"/>
                <w:sz w:val="22"/>
              </w:rPr>
              <w:t>(</w:t>
            </w:r>
            <w:r w:rsidRPr="007309D3">
              <w:rPr>
                <w:rFonts w:ascii="Times New Roman" w:eastAsia="標楷體" w:hAnsi="Times New Roman" w:cs="Times New Roman"/>
                <w:sz w:val="22"/>
              </w:rPr>
              <w:t>含個人成長歷程、專長特殊表現</w:t>
            </w:r>
            <w:r w:rsidRPr="007309D3">
              <w:rPr>
                <w:rFonts w:ascii="Times New Roman" w:eastAsia="標楷體" w:hAnsi="Times New Roman" w:cs="Times New Roman" w:hint="eastAsia"/>
                <w:sz w:val="22"/>
              </w:rPr>
              <w:t>)</w:t>
            </w:r>
          </w:p>
          <w:p w14:paraId="7589889C" w14:textId="77777777" w:rsidR="00FB6A8C" w:rsidRPr="007309D3" w:rsidRDefault="00FB6A8C" w:rsidP="00FB6A8C">
            <w:pPr>
              <w:spacing w:line="260" w:lineRule="exact"/>
              <w:jc w:val="both"/>
              <w:rPr>
                <w:rFonts w:ascii="Times New Roman" w:eastAsia="標楷體" w:hAnsi="Times New Roman" w:cs="Times New Roman"/>
                <w:sz w:val="22"/>
              </w:rPr>
            </w:pPr>
            <w:r w:rsidRPr="007309D3">
              <w:rPr>
                <w:rFonts w:ascii="Times New Roman" w:eastAsia="標楷體" w:hAnsi="Times New Roman" w:cs="Times New Roman" w:hint="eastAsia"/>
                <w:sz w:val="22"/>
              </w:rPr>
              <w:t>3.</w:t>
            </w:r>
            <w:r w:rsidRPr="007309D3">
              <w:rPr>
                <w:rFonts w:ascii="Times New Roman" w:eastAsia="標楷體" w:hAnsi="Times New Roman" w:cs="Times New Roman"/>
                <w:sz w:val="22"/>
              </w:rPr>
              <w:t xml:space="preserve"> </w:t>
            </w:r>
            <w:r w:rsidRPr="007309D3">
              <w:rPr>
                <w:rFonts w:ascii="Times New Roman" w:eastAsia="標楷體" w:hAnsi="Times New Roman" w:cs="Times New Roman"/>
                <w:sz w:val="22"/>
              </w:rPr>
              <w:t>讀書計畫</w:t>
            </w:r>
            <w:r w:rsidRPr="007309D3">
              <w:rPr>
                <w:rFonts w:ascii="Times New Roman" w:eastAsia="標楷體" w:hAnsi="Times New Roman" w:cs="Times New Roman"/>
                <w:sz w:val="22"/>
              </w:rPr>
              <w:t>(</w:t>
            </w:r>
            <w:r w:rsidRPr="007309D3">
              <w:rPr>
                <w:rFonts w:ascii="Times New Roman" w:eastAsia="標楷體" w:hAnsi="Times New Roman" w:cs="Times New Roman"/>
                <w:sz w:val="22"/>
              </w:rPr>
              <w:t>含申請動機</w:t>
            </w:r>
            <w:r w:rsidRPr="007309D3">
              <w:rPr>
                <w:rFonts w:ascii="Times New Roman" w:eastAsia="標楷體" w:hAnsi="Times New Roman" w:cs="Times New Roman"/>
                <w:sz w:val="22"/>
              </w:rPr>
              <w:t>)</w:t>
            </w:r>
          </w:p>
          <w:p w14:paraId="384AC5F4" w14:textId="77777777" w:rsidR="00FB6A8C" w:rsidRPr="007309D3" w:rsidRDefault="00FB6A8C" w:rsidP="00FB6A8C">
            <w:pPr>
              <w:spacing w:line="260" w:lineRule="exact"/>
              <w:jc w:val="both"/>
              <w:rPr>
                <w:rFonts w:ascii="Times New Roman" w:eastAsia="標楷體" w:hAnsi="Times New Roman" w:cs="Times New Roman"/>
                <w:sz w:val="22"/>
              </w:rPr>
            </w:pPr>
            <w:r w:rsidRPr="007309D3">
              <w:rPr>
                <w:rFonts w:ascii="Times New Roman" w:eastAsia="標楷體" w:hAnsi="Times New Roman" w:cs="Times New Roman" w:hint="eastAsia"/>
                <w:sz w:val="22"/>
              </w:rPr>
              <w:t>4.</w:t>
            </w:r>
            <w:r w:rsidRPr="007309D3">
              <w:rPr>
                <w:rFonts w:ascii="Times New Roman" w:eastAsia="標楷體" w:hAnsi="Times New Roman" w:cs="Times New Roman"/>
                <w:sz w:val="22"/>
              </w:rPr>
              <w:t xml:space="preserve"> </w:t>
            </w:r>
            <w:r w:rsidRPr="007309D3">
              <w:rPr>
                <w:rFonts w:ascii="Times New Roman" w:eastAsia="標楷體" w:hAnsi="Times New Roman" w:cs="Times New Roman"/>
                <w:sz w:val="22"/>
              </w:rPr>
              <w:t>其他特殊成就或表現證明文件</w:t>
            </w:r>
          </w:p>
        </w:tc>
      </w:tr>
      <w:tr w:rsidR="00FB6A8C" w:rsidRPr="007309D3" w14:paraId="35B39E2F" w14:textId="77777777" w:rsidTr="00011844">
        <w:trPr>
          <w:trHeight w:val="490"/>
        </w:trPr>
        <w:tc>
          <w:tcPr>
            <w:tcW w:w="1661" w:type="dxa"/>
            <w:vAlign w:val="center"/>
          </w:tcPr>
          <w:p w14:paraId="313F8304" w14:textId="77777777" w:rsidR="00FB6A8C" w:rsidRPr="007309D3" w:rsidRDefault="00FB6A8C" w:rsidP="00FB6A8C">
            <w:pPr>
              <w:snapToGrid w:val="0"/>
              <w:spacing w:line="260" w:lineRule="exact"/>
              <w:jc w:val="center"/>
              <w:rPr>
                <w:rFonts w:ascii="Times New Roman" w:eastAsia="標楷體" w:hAnsi="Times New Roman" w:cs="Times New Roman"/>
              </w:rPr>
            </w:pPr>
            <w:r w:rsidRPr="007309D3">
              <w:rPr>
                <w:rFonts w:ascii="Times New Roman" w:eastAsia="標楷體" w:hAnsi="Times New Roman" w:cs="Times New Roman"/>
              </w:rPr>
              <w:t>考試地點</w:t>
            </w:r>
          </w:p>
        </w:tc>
        <w:tc>
          <w:tcPr>
            <w:tcW w:w="6615" w:type="dxa"/>
            <w:vAlign w:val="center"/>
          </w:tcPr>
          <w:p w14:paraId="6C91F011" w14:textId="77777777" w:rsidR="00FB6A8C" w:rsidRPr="007309D3" w:rsidRDefault="00FB6A8C" w:rsidP="00FB6A8C">
            <w:pPr>
              <w:snapToGrid w:val="0"/>
              <w:spacing w:line="260" w:lineRule="exact"/>
              <w:jc w:val="both"/>
              <w:rPr>
                <w:rFonts w:ascii="Times New Roman" w:eastAsia="標楷體" w:hAnsi="Times New Roman" w:cs="Times New Roman"/>
                <w:sz w:val="22"/>
              </w:rPr>
            </w:pPr>
            <w:proofErr w:type="gramStart"/>
            <w:r>
              <w:rPr>
                <w:rFonts w:ascii="Times New Roman" w:eastAsia="標楷體" w:hAnsi="Times New Roman" w:cs="Times New Roman" w:hint="eastAsia"/>
                <w:sz w:val="22"/>
              </w:rPr>
              <w:t>臺</w:t>
            </w:r>
            <w:proofErr w:type="gramEnd"/>
            <w:r>
              <w:rPr>
                <w:rFonts w:ascii="Times New Roman" w:eastAsia="標楷體" w:hAnsi="Times New Roman" w:cs="Times New Roman" w:hint="eastAsia"/>
                <w:sz w:val="22"/>
              </w:rPr>
              <w:t>北考區</w:t>
            </w:r>
          </w:p>
        </w:tc>
      </w:tr>
      <w:tr w:rsidR="00FB6A8C" w:rsidRPr="007309D3" w14:paraId="5C29BF78" w14:textId="77777777" w:rsidTr="00011844">
        <w:tc>
          <w:tcPr>
            <w:tcW w:w="1661" w:type="dxa"/>
            <w:vAlign w:val="center"/>
          </w:tcPr>
          <w:p w14:paraId="46C83B07" w14:textId="77777777" w:rsidR="00FB6A8C" w:rsidRPr="007309D3" w:rsidRDefault="00FB6A8C" w:rsidP="00FB6A8C">
            <w:pPr>
              <w:spacing w:line="260" w:lineRule="exact"/>
              <w:jc w:val="center"/>
              <w:rPr>
                <w:rFonts w:ascii="Times New Roman" w:eastAsia="標楷體" w:hAnsi="Times New Roman" w:cs="Times New Roman"/>
              </w:rPr>
            </w:pPr>
            <w:r w:rsidRPr="007309D3">
              <w:rPr>
                <w:rFonts w:ascii="Times New Roman" w:eastAsia="標楷體" w:hAnsi="Times New Roman" w:cs="Times New Roman"/>
              </w:rPr>
              <w:t>學系特色</w:t>
            </w:r>
          </w:p>
        </w:tc>
        <w:tc>
          <w:tcPr>
            <w:tcW w:w="6615" w:type="dxa"/>
          </w:tcPr>
          <w:p w14:paraId="0A8D601A" w14:textId="77777777" w:rsidR="00FB6A8C" w:rsidRPr="007309D3" w:rsidRDefault="00FB6A8C" w:rsidP="00FB6A8C">
            <w:pPr>
              <w:pStyle w:val="Default"/>
              <w:snapToGrid w:val="0"/>
              <w:spacing w:line="260" w:lineRule="exact"/>
              <w:jc w:val="both"/>
              <w:rPr>
                <w:rFonts w:eastAsia="標楷體"/>
                <w:color w:val="auto"/>
                <w:sz w:val="22"/>
              </w:rPr>
            </w:pPr>
            <w:r w:rsidRPr="007309D3">
              <w:rPr>
                <w:rFonts w:eastAsia="標楷體" w:hint="eastAsia"/>
                <w:color w:val="auto"/>
                <w:sz w:val="22"/>
              </w:rPr>
              <w:t>本系為培養具備跨領域策略性思考能力的廣告行銷人才。</w:t>
            </w:r>
          </w:p>
          <w:p w14:paraId="6CAC6FC7" w14:textId="77777777" w:rsidR="00FB6A8C" w:rsidRPr="007309D3" w:rsidRDefault="00FB6A8C" w:rsidP="00FB6A8C">
            <w:pPr>
              <w:pStyle w:val="a4"/>
              <w:numPr>
                <w:ilvl w:val="0"/>
                <w:numId w:val="1"/>
              </w:numPr>
              <w:snapToGrid w:val="0"/>
              <w:spacing w:line="260" w:lineRule="exact"/>
              <w:ind w:leftChars="0" w:left="304" w:hanging="304"/>
              <w:jc w:val="both"/>
              <w:rPr>
                <w:rFonts w:ascii="Times New Roman" w:eastAsia="標楷體" w:hAnsi="Times New Roman" w:cs="Times New Roman"/>
                <w:sz w:val="22"/>
                <w:szCs w:val="23"/>
              </w:rPr>
            </w:pPr>
            <w:r w:rsidRPr="007309D3">
              <w:rPr>
                <w:rFonts w:ascii="Times New Roman" w:eastAsia="標楷體" w:hAnsi="Times New Roman" w:cs="Times New Roman"/>
                <w:sz w:val="22"/>
                <w:szCs w:val="23"/>
              </w:rPr>
              <w:t>課程架構以廣告為核心，向外延伸五大領域，分別是由行銷、公關、品牌、創意及消費者洞悉的角度來設計相關課程。</w:t>
            </w:r>
          </w:p>
          <w:p w14:paraId="2E49172F" w14:textId="77777777" w:rsidR="00FB6A8C" w:rsidRPr="007309D3" w:rsidRDefault="00FB6A8C" w:rsidP="00FB6A8C">
            <w:pPr>
              <w:pStyle w:val="a4"/>
              <w:numPr>
                <w:ilvl w:val="0"/>
                <w:numId w:val="1"/>
              </w:numPr>
              <w:snapToGrid w:val="0"/>
              <w:spacing w:line="260" w:lineRule="exact"/>
              <w:ind w:leftChars="0" w:left="304" w:hanging="304"/>
              <w:jc w:val="both"/>
              <w:rPr>
                <w:rFonts w:ascii="Times New Roman" w:eastAsia="標楷體" w:hAnsi="Times New Roman" w:cs="Times New Roman"/>
                <w:sz w:val="22"/>
                <w:szCs w:val="23"/>
              </w:rPr>
            </w:pPr>
            <w:r w:rsidRPr="007309D3">
              <w:rPr>
                <w:rFonts w:ascii="Times New Roman" w:eastAsia="標楷體" w:hAnsi="Times New Roman" w:cs="Times New Roman"/>
                <w:sz w:val="22"/>
                <w:szCs w:val="23"/>
              </w:rPr>
              <w:t>本系強調「理論與實務」並重的教學模式，並透過「做中學」的概念，將理論落實於實務操作。大</w:t>
            </w:r>
            <w:proofErr w:type="gramStart"/>
            <w:r w:rsidRPr="007309D3">
              <w:rPr>
                <w:rFonts w:ascii="Times New Roman" w:eastAsia="標楷體" w:hAnsi="Times New Roman" w:cs="Times New Roman"/>
                <w:sz w:val="22"/>
                <w:szCs w:val="23"/>
              </w:rPr>
              <w:t>一</w:t>
            </w:r>
            <w:proofErr w:type="gramEnd"/>
            <w:r w:rsidRPr="007309D3">
              <w:rPr>
                <w:rFonts w:ascii="Times New Roman" w:eastAsia="標楷體" w:hAnsi="Times New Roman" w:cs="Times New Roman"/>
                <w:sz w:val="22"/>
                <w:szCs w:val="23"/>
              </w:rPr>
              <w:t>和大二的課程規劃主要是以修習</w:t>
            </w:r>
            <w:proofErr w:type="gramStart"/>
            <w:r w:rsidRPr="007309D3">
              <w:rPr>
                <w:rFonts w:ascii="Times New Roman" w:eastAsia="標楷體" w:hAnsi="Times New Roman" w:cs="Times New Roman"/>
                <w:sz w:val="22"/>
                <w:szCs w:val="23"/>
              </w:rPr>
              <w:t>校定</w:t>
            </w:r>
            <w:proofErr w:type="gramEnd"/>
            <w:r w:rsidRPr="007309D3">
              <w:rPr>
                <w:rFonts w:ascii="Times New Roman" w:eastAsia="標楷體" w:hAnsi="Times New Roman" w:cs="Times New Roman"/>
                <w:sz w:val="22"/>
                <w:szCs w:val="23"/>
              </w:rPr>
              <w:t>和廣告行銷專業基礎課程為主，大三和大四課程架構則以修習廣告行銷進階專業及實作課程為主。</w:t>
            </w:r>
            <w:proofErr w:type="gramStart"/>
            <w:r w:rsidRPr="007309D3">
              <w:rPr>
                <w:rFonts w:ascii="Times New Roman" w:eastAsia="標楷體" w:hAnsi="Times New Roman" w:cs="Times New Roman"/>
                <w:sz w:val="22"/>
                <w:szCs w:val="23"/>
              </w:rPr>
              <w:t>此外，</w:t>
            </w:r>
            <w:proofErr w:type="gramEnd"/>
            <w:r w:rsidRPr="007309D3">
              <w:rPr>
                <w:rFonts w:ascii="Times New Roman" w:eastAsia="標楷體" w:hAnsi="Times New Roman" w:cs="Times New Roman"/>
                <w:sz w:val="22"/>
                <w:szCs w:val="23"/>
              </w:rPr>
              <w:t>定期舉辦專題講座、</w:t>
            </w:r>
            <w:proofErr w:type="gramStart"/>
            <w:r w:rsidRPr="007309D3">
              <w:rPr>
                <w:rFonts w:ascii="Times New Roman" w:eastAsia="標楷體" w:hAnsi="Times New Roman" w:cs="Times New Roman"/>
                <w:sz w:val="22"/>
                <w:szCs w:val="23"/>
              </w:rPr>
              <w:t>雙師教學</w:t>
            </w:r>
            <w:proofErr w:type="gramEnd"/>
            <w:r w:rsidRPr="007309D3">
              <w:rPr>
                <w:rFonts w:ascii="Times New Roman" w:eastAsia="標楷體" w:hAnsi="Times New Roman" w:cs="Times New Roman"/>
                <w:sz w:val="22"/>
                <w:szCs w:val="23"/>
              </w:rPr>
              <w:t>、研討會及積極帶領學生參與國際性及校外競賽等活動，提供學生多元學習的環境與機會。</w:t>
            </w:r>
          </w:p>
          <w:p w14:paraId="450B4383" w14:textId="77777777" w:rsidR="00FB6A8C" w:rsidRPr="007309D3" w:rsidRDefault="00FB6A8C" w:rsidP="00FB6A8C">
            <w:pPr>
              <w:pStyle w:val="a4"/>
              <w:numPr>
                <w:ilvl w:val="0"/>
                <w:numId w:val="1"/>
              </w:numPr>
              <w:snapToGrid w:val="0"/>
              <w:spacing w:line="260" w:lineRule="exact"/>
              <w:ind w:leftChars="0" w:left="306" w:hanging="306"/>
              <w:jc w:val="both"/>
              <w:rPr>
                <w:rFonts w:eastAsia="標楷體"/>
                <w:sz w:val="22"/>
              </w:rPr>
            </w:pPr>
            <w:r w:rsidRPr="007309D3">
              <w:rPr>
                <w:rFonts w:ascii="Times New Roman" w:eastAsia="標楷體" w:hAnsi="Times New Roman" w:cs="Times New Roman" w:hint="eastAsia"/>
                <w:sz w:val="22"/>
                <w:szCs w:val="23"/>
              </w:rPr>
              <w:t>本系設有</w:t>
            </w:r>
            <w:r w:rsidRPr="007309D3">
              <w:rPr>
                <w:rFonts w:ascii="Times New Roman" w:eastAsia="標楷體" w:hAnsi="Times New Roman" w:cs="Times New Roman"/>
                <w:sz w:val="22"/>
                <w:szCs w:val="23"/>
              </w:rPr>
              <w:t>「整合行銷傳播中心」</w:t>
            </w:r>
            <w:r w:rsidRPr="007309D3">
              <w:rPr>
                <w:rFonts w:ascii="Times New Roman" w:eastAsia="標楷體" w:hAnsi="Times New Roman" w:cs="Times New Roman" w:hint="eastAsia"/>
                <w:sz w:val="22"/>
                <w:szCs w:val="23"/>
              </w:rPr>
              <w:t>和</w:t>
            </w:r>
            <w:r w:rsidRPr="007309D3">
              <w:rPr>
                <w:rFonts w:ascii="Times New Roman" w:eastAsia="標楷體" w:hAnsi="Times New Roman" w:cs="Times New Roman"/>
                <w:sz w:val="22"/>
                <w:szCs w:val="23"/>
              </w:rPr>
              <w:t>「品牌實驗中心」，讓學生能夠實際參與公關活動和廣告專案的運作及規劃。為提升學生職場競爭優勢，學生可以藉由與國內知名廣告</w:t>
            </w:r>
            <w:r w:rsidRPr="007309D3">
              <w:rPr>
                <w:rFonts w:ascii="Times New Roman" w:eastAsia="標楷體" w:hAnsi="Times New Roman" w:cs="Times New Roman"/>
                <w:sz w:val="22"/>
                <w:szCs w:val="23"/>
              </w:rPr>
              <w:t>/</w:t>
            </w:r>
            <w:r w:rsidRPr="007309D3">
              <w:rPr>
                <w:rFonts w:ascii="Times New Roman" w:eastAsia="標楷體" w:hAnsi="Times New Roman" w:cs="Times New Roman"/>
                <w:sz w:val="22"/>
                <w:szCs w:val="23"/>
              </w:rPr>
              <w:t>公關</w:t>
            </w:r>
            <w:r w:rsidRPr="007309D3">
              <w:rPr>
                <w:rFonts w:ascii="Times New Roman" w:eastAsia="標楷體" w:hAnsi="Times New Roman" w:cs="Times New Roman"/>
                <w:sz w:val="22"/>
                <w:szCs w:val="23"/>
              </w:rPr>
              <w:t>/</w:t>
            </w:r>
            <w:r w:rsidRPr="007309D3">
              <w:rPr>
                <w:rFonts w:ascii="Times New Roman" w:eastAsia="標楷體" w:hAnsi="Times New Roman" w:cs="Times New Roman"/>
                <w:sz w:val="22"/>
                <w:szCs w:val="23"/>
              </w:rPr>
              <w:t>行銷</w:t>
            </w:r>
            <w:r w:rsidRPr="007309D3">
              <w:rPr>
                <w:rFonts w:ascii="Times New Roman" w:eastAsia="標楷體" w:hAnsi="Times New Roman" w:cs="Times New Roman"/>
                <w:sz w:val="22"/>
                <w:szCs w:val="23"/>
              </w:rPr>
              <w:t>/</w:t>
            </w:r>
            <w:r w:rsidRPr="007309D3">
              <w:rPr>
                <w:rFonts w:ascii="Times New Roman" w:eastAsia="標楷體" w:hAnsi="Times New Roman" w:cs="Times New Roman"/>
                <w:sz w:val="22"/>
                <w:szCs w:val="23"/>
              </w:rPr>
              <w:t>媒體公司合作的機會，落實理論概念的學習與強化專業技能。</w:t>
            </w:r>
          </w:p>
        </w:tc>
      </w:tr>
      <w:tr w:rsidR="00FB6A8C" w:rsidRPr="007309D3" w14:paraId="4E506D83" w14:textId="77777777" w:rsidTr="00FB6A8C">
        <w:trPr>
          <w:trHeight w:val="644"/>
        </w:trPr>
        <w:tc>
          <w:tcPr>
            <w:tcW w:w="1661" w:type="dxa"/>
            <w:vAlign w:val="center"/>
          </w:tcPr>
          <w:p w14:paraId="48A3585A" w14:textId="77777777" w:rsidR="00FB6A8C" w:rsidRPr="007309D3" w:rsidRDefault="00FB6A8C" w:rsidP="00FB6A8C">
            <w:pPr>
              <w:spacing w:line="260" w:lineRule="exact"/>
              <w:jc w:val="center"/>
              <w:rPr>
                <w:rFonts w:ascii="Times New Roman" w:eastAsia="標楷體" w:hAnsi="Times New Roman" w:cs="Times New Roman"/>
              </w:rPr>
            </w:pPr>
            <w:r w:rsidRPr="007309D3">
              <w:rPr>
                <w:rFonts w:ascii="Times New Roman" w:eastAsia="標楷體" w:hAnsi="Times New Roman" w:cs="Times New Roman"/>
              </w:rPr>
              <w:t>聯絡電話及</w:t>
            </w:r>
          </w:p>
          <w:p w14:paraId="3D8154E7" w14:textId="77777777" w:rsidR="00FB6A8C" w:rsidRPr="007309D3" w:rsidRDefault="00FB6A8C" w:rsidP="00FB6A8C">
            <w:pPr>
              <w:spacing w:line="260" w:lineRule="exact"/>
              <w:jc w:val="center"/>
              <w:rPr>
                <w:rFonts w:ascii="Times New Roman" w:eastAsia="標楷體" w:hAnsi="Times New Roman" w:cs="Times New Roman"/>
              </w:rPr>
            </w:pPr>
            <w:r w:rsidRPr="007309D3">
              <w:rPr>
                <w:rFonts w:ascii="Times New Roman" w:eastAsia="標楷體" w:hAnsi="Times New Roman" w:cs="Times New Roman"/>
              </w:rPr>
              <w:t>學系網址</w:t>
            </w:r>
          </w:p>
        </w:tc>
        <w:tc>
          <w:tcPr>
            <w:tcW w:w="6615" w:type="dxa"/>
          </w:tcPr>
          <w:p w14:paraId="25A30473" w14:textId="77777777" w:rsidR="00FB6A8C" w:rsidRPr="007309D3" w:rsidRDefault="00FB6A8C" w:rsidP="00FB6A8C">
            <w:pPr>
              <w:spacing w:beforeLines="50" w:before="180" w:afterLines="50" w:after="180" w:line="260" w:lineRule="exact"/>
              <w:jc w:val="both"/>
              <w:rPr>
                <w:rFonts w:ascii="Times New Roman" w:eastAsia="標楷體" w:hAnsi="Times New Roman" w:cs="Times New Roman"/>
                <w:sz w:val="22"/>
              </w:rPr>
            </w:pPr>
            <w:r w:rsidRPr="007309D3">
              <w:rPr>
                <w:rFonts w:ascii="Times New Roman" w:eastAsia="標楷體" w:hAnsi="Times New Roman" w:cs="Times New Roman"/>
                <w:sz w:val="22"/>
              </w:rPr>
              <w:t>連絡電話：</w:t>
            </w:r>
            <w:r w:rsidRPr="007309D3">
              <w:rPr>
                <w:rFonts w:ascii="Times New Roman" w:eastAsia="標楷體" w:hAnsi="Times New Roman" w:cs="Times New Roman"/>
                <w:sz w:val="22"/>
              </w:rPr>
              <w:t>(02)2882-4564</w:t>
            </w:r>
            <w:r w:rsidRPr="007309D3">
              <w:rPr>
                <w:rFonts w:ascii="Times New Roman" w:eastAsia="標楷體" w:hAnsi="Times New Roman" w:cs="Times New Roman" w:hint="eastAsia"/>
                <w:sz w:val="22"/>
              </w:rPr>
              <w:t>分機</w:t>
            </w:r>
            <w:r w:rsidRPr="007309D3">
              <w:rPr>
                <w:rFonts w:ascii="Times New Roman" w:eastAsia="標楷體" w:hAnsi="Times New Roman" w:cs="Times New Roman"/>
                <w:sz w:val="22"/>
              </w:rPr>
              <w:t>2515</w:t>
            </w:r>
          </w:p>
          <w:p w14:paraId="79EE8425" w14:textId="77777777" w:rsidR="00FB6A8C" w:rsidRPr="007309D3" w:rsidRDefault="00FB6A8C" w:rsidP="00FB6A8C">
            <w:pPr>
              <w:spacing w:beforeLines="50" w:before="180" w:afterLines="50" w:after="180" w:line="260" w:lineRule="exact"/>
              <w:jc w:val="both"/>
              <w:rPr>
                <w:rFonts w:ascii="Times New Roman" w:eastAsia="標楷體" w:hAnsi="Times New Roman" w:cs="Times New Roman"/>
                <w:sz w:val="22"/>
              </w:rPr>
            </w:pPr>
            <w:r w:rsidRPr="007309D3">
              <w:rPr>
                <w:rFonts w:ascii="Times New Roman" w:eastAsia="標楷體" w:hAnsi="Times New Roman" w:cs="Times New Roman"/>
                <w:sz w:val="22"/>
              </w:rPr>
              <w:t>學系網址：</w:t>
            </w:r>
            <w:r w:rsidRPr="007309D3">
              <w:rPr>
                <w:rFonts w:ascii="Times New Roman" w:eastAsia="標楷體" w:hAnsi="Times New Roman" w:cs="Times New Roman"/>
                <w:sz w:val="22"/>
              </w:rPr>
              <w:t>http://web.adv.mcu.edu.tw/</w:t>
            </w:r>
          </w:p>
        </w:tc>
      </w:tr>
    </w:tbl>
    <w:p w14:paraId="7201BD34" w14:textId="77777777" w:rsidR="00FB6A8C" w:rsidRPr="00FB6A8C" w:rsidRDefault="00FB6A8C"/>
    <w:p w14:paraId="4D4E3971" w14:textId="750FC305" w:rsidR="00963C44" w:rsidRPr="00D37879" w:rsidRDefault="00963C44" w:rsidP="00FB6A8C"/>
    <w:sectPr w:rsidR="00963C44" w:rsidRPr="00D37879" w:rsidSect="00FB6A8C">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B986C0" w14:textId="77777777" w:rsidR="009814E0" w:rsidRDefault="009814E0" w:rsidP="007F3F00">
      <w:r>
        <w:separator/>
      </w:r>
    </w:p>
  </w:endnote>
  <w:endnote w:type="continuationSeparator" w:id="0">
    <w:p w14:paraId="6BD2F03D" w14:textId="77777777" w:rsidR="009814E0" w:rsidRDefault="009814E0" w:rsidP="007F3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17759" w14:textId="77777777" w:rsidR="009814E0" w:rsidRDefault="009814E0" w:rsidP="007F3F00">
      <w:r>
        <w:separator/>
      </w:r>
    </w:p>
  </w:footnote>
  <w:footnote w:type="continuationSeparator" w:id="0">
    <w:p w14:paraId="4AA8D9EA" w14:textId="77777777" w:rsidR="009814E0" w:rsidRDefault="009814E0" w:rsidP="007F3F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CA41A0"/>
    <w:multiLevelType w:val="hybridMultilevel"/>
    <w:tmpl w:val="7C1811DA"/>
    <w:lvl w:ilvl="0" w:tplc="4942E23C">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36222BB"/>
    <w:multiLevelType w:val="hybridMultilevel"/>
    <w:tmpl w:val="BA281D82"/>
    <w:lvl w:ilvl="0" w:tplc="42D434E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1FF0DDB"/>
    <w:multiLevelType w:val="hybridMultilevel"/>
    <w:tmpl w:val="7D7A49C8"/>
    <w:lvl w:ilvl="0" w:tplc="42D434E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440953001">
    <w:abstractNumId w:val="0"/>
  </w:num>
  <w:num w:numId="2" w16cid:durableId="1337880948">
    <w:abstractNumId w:val="2"/>
  </w:num>
  <w:num w:numId="3" w16cid:durableId="9113541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879"/>
    <w:rsid w:val="0029318A"/>
    <w:rsid w:val="0052407D"/>
    <w:rsid w:val="007F3F00"/>
    <w:rsid w:val="008C0BB1"/>
    <w:rsid w:val="00963C44"/>
    <w:rsid w:val="009814E0"/>
    <w:rsid w:val="00D37879"/>
    <w:rsid w:val="00FB6A8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D63A55"/>
  <w15:chartTrackingRefBased/>
  <w15:docId w15:val="{D9BA80A0-0FE8-4AAE-BE6A-D834D1520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7879"/>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37879"/>
    <w:pPr>
      <w:widowControl w:val="0"/>
      <w:autoSpaceDE w:val="0"/>
      <w:autoSpaceDN w:val="0"/>
      <w:adjustRightInd w:val="0"/>
    </w:pPr>
    <w:rPr>
      <w:rFonts w:ascii="Times New Roman" w:hAnsi="Times New Roman" w:cs="Times New Roman"/>
      <w:color w:val="000000"/>
      <w:kern w:val="0"/>
      <w:szCs w:val="24"/>
    </w:rPr>
  </w:style>
  <w:style w:type="table" w:styleId="a3">
    <w:name w:val="Table Grid"/>
    <w:basedOn w:val="a1"/>
    <w:uiPriority w:val="39"/>
    <w:rsid w:val="00D378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主標題,清單段落1"/>
    <w:basedOn w:val="a"/>
    <w:link w:val="a5"/>
    <w:uiPriority w:val="34"/>
    <w:qFormat/>
    <w:rsid w:val="00D37879"/>
    <w:pPr>
      <w:ind w:leftChars="200" w:left="480"/>
    </w:pPr>
  </w:style>
  <w:style w:type="character" w:customStyle="1" w:styleId="a5">
    <w:name w:val="清單段落 字元"/>
    <w:aliases w:val="主標題 字元,清單段落1 字元"/>
    <w:basedOn w:val="a0"/>
    <w:link w:val="a4"/>
    <w:uiPriority w:val="34"/>
    <w:rsid w:val="00D37879"/>
  </w:style>
  <w:style w:type="paragraph" w:styleId="a6">
    <w:name w:val="header"/>
    <w:basedOn w:val="a"/>
    <w:link w:val="a7"/>
    <w:uiPriority w:val="99"/>
    <w:unhideWhenUsed/>
    <w:rsid w:val="007F3F00"/>
    <w:pPr>
      <w:tabs>
        <w:tab w:val="center" w:pos="4153"/>
        <w:tab w:val="right" w:pos="8306"/>
      </w:tabs>
      <w:snapToGrid w:val="0"/>
    </w:pPr>
    <w:rPr>
      <w:sz w:val="20"/>
      <w:szCs w:val="20"/>
    </w:rPr>
  </w:style>
  <w:style w:type="character" w:customStyle="1" w:styleId="a7">
    <w:name w:val="頁首 字元"/>
    <w:basedOn w:val="a0"/>
    <w:link w:val="a6"/>
    <w:uiPriority w:val="99"/>
    <w:rsid w:val="007F3F00"/>
    <w:rPr>
      <w:sz w:val="20"/>
      <w:szCs w:val="20"/>
    </w:rPr>
  </w:style>
  <w:style w:type="paragraph" w:styleId="a8">
    <w:name w:val="footer"/>
    <w:basedOn w:val="a"/>
    <w:link w:val="a9"/>
    <w:uiPriority w:val="99"/>
    <w:unhideWhenUsed/>
    <w:rsid w:val="007F3F00"/>
    <w:pPr>
      <w:tabs>
        <w:tab w:val="center" w:pos="4153"/>
        <w:tab w:val="right" w:pos="8306"/>
      </w:tabs>
      <w:snapToGrid w:val="0"/>
    </w:pPr>
    <w:rPr>
      <w:sz w:val="20"/>
      <w:szCs w:val="20"/>
    </w:rPr>
  </w:style>
  <w:style w:type="character" w:customStyle="1" w:styleId="a9">
    <w:name w:val="頁尾 字元"/>
    <w:basedOn w:val="a0"/>
    <w:link w:val="a8"/>
    <w:uiPriority w:val="99"/>
    <w:rsid w:val="007F3F0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167</Words>
  <Characters>956</Characters>
  <Application>Microsoft Office Word</Application>
  <DocSecurity>0</DocSecurity>
  <Lines>7</Lines>
  <Paragraphs>2</Paragraphs>
  <ScaleCrop>false</ScaleCrop>
  <Company/>
  <LinksUpToDate>false</LinksUpToDate>
  <CharactersWithSpaces>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王慧美</cp:lastModifiedBy>
  <cp:revision>2</cp:revision>
  <cp:lastPrinted>2025-10-27T06:47:00Z</cp:lastPrinted>
  <dcterms:created xsi:type="dcterms:W3CDTF">2025-10-27T06:50:00Z</dcterms:created>
  <dcterms:modified xsi:type="dcterms:W3CDTF">2025-10-27T06:50:00Z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dc2cc515-04bb-4a18-9694-c14d50e65437</vt:lpwstr>
  </property>
</Properties>
</file>